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A5" w:rsidRDefault="002D1640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5287010" cy="2098040"/>
            <wp:effectExtent l="0" t="0" r="8890" b="16510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t="23556" b="23556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A5" w:rsidRDefault="004E1AA5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2"/>
        <w:gridCol w:w="2610"/>
        <w:gridCol w:w="2663"/>
        <w:gridCol w:w="2581"/>
      </w:tblGrid>
      <w:tr w:rsidR="004E1AA5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4E1AA5" w:rsidRDefault="002D1640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1</w:t>
            </w:r>
            <w:r w:rsidR="005C7F93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8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00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4E1AA5" w:rsidRDefault="002D1640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1</w:t>
            </w:r>
            <w:r w:rsidR="005C7F93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6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50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4E1AA5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4E1AA5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4E1AA5" w:rsidRDefault="004E1AA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E1AA5" w:rsidRDefault="00E146D3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16M33G4D3</w:t>
            </w:r>
            <w:r w:rsidR="005C7F93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4E1AA5" w:rsidRDefault="004E1AA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PI734</w:t>
            </w:r>
            <w:r w:rsidR="005C7F93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4E1AA5" w:rsidRDefault="004E1AA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8"/>
        <w:gridCol w:w="5228"/>
      </w:tblGrid>
      <w:tr w:rsidR="004E1AA5" w:rsidTr="0084656E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4E1AA5" w:rsidTr="0084656E">
        <w:trPr>
          <w:trHeight w:val="567"/>
        </w:trPr>
        <w:tc>
          <w:tcPr>
            <w:tcW w:w="523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Engine: Baudouin </w:t>
            </w:r>
            <w:r w:rsidR="00E146D3">
              <w:rPr>
                <w:rStyle w:val="fontstyle01"/>
                <w:rFonts w:ascii="Arial" w:hAnsi="Arial"/>
                <w:sz w:val="21"/>
                <w:szCs w:val="21"/>
              </w:rPr>
              <w:t>16M33G4D3</w:t>
            </w:r>
            <w:r w:rsidR="005C7F93">
              <w:rPr>
                <w:rStyle w:val="fontstyle01"/>
                <w:rFonts w:ascii="Arial" w:hAnsi="Arial"/>
                <w:sz w:val="21"/>
                <w:szCs w:val="21"/>
              </w:rPr>
              <w:t>/5</w:t>
            </w:r>
          </w:p>
        </w:tc>
        <w:tc>
          <w:tcPr>
            <w:tcW w:w="522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4E1AA5" w:rsidTr="0084656E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4E1AA5" w:rsidTr="0084656E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4E1AA5" w:rsidTr="0084656E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4E1AA5" w:rsidTr="0084656E">
        <w:trPr>
          <w:trHeight w:val="567"/>
        </w:trPr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2D1640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4E1AA5" w:rsidRDefault="004E1AA5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4E1AA5" w:rsidRDefault="002D1640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206"/>
        <w:gridCol w:w="858"/>
        <w:gridCol w:w="1504"/>
        <w:gridCol w:w="1270"/>
        <w:gridCol w:w="2101"/>
        <w:gridCol w:w="2049"/>
      </w:tblGrid>
      <w:tr w:rsidR="004E1AA5" w:rsidTr="005C7F93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4E1AA5" w:rsidTr="005C7F93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4E1AA5" w:rsidRDefault="002D1640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4E1AA5" w:rsidRDefault="002D1640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5C7F93" w:rsidTr="005C7F93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2362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1440kW/1800kVA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13</w:t>
            </w:r>
            <w:r>
              <w:rPr>
                <w:rFonts w:ascii="Arial" w:eastAsia="幼圆" w:hAnsi="Arial" w:cs="Arial"/>
              </w:rPr>
              <w:t>20</w:t>
            </w:r>
            <w:r w:rsidRPr="005C7F93">
              <w:rPr>
                <w:rFonts w:ascii="Arial" w:eastAsia="幼圆" w:hAnsi="Arial" w:cs="Arial"/>
              </w:rPr>
              <w:t>kW/16</w:t>
            </w:r>
            <w:r>
              <w:rPr>
                <w:rFonts w:ascii="Arial" w:eastAsia="幼圆" w:hAnsi="Arial" w:cs="Arial"/>
              </w:rPr>
              <w:t>5</w:t>
            </w:r>
            <w:r w:rsidRPr="005C7F93">
              <w:rPr>
                <w:rFonts w:ascii="Arial" w:eastAsia="幼圆" w:hAnsi="Arial" w:cs="Arial"/>
              </w:rPr>
              <w:t>0kVA</w:t>
            </w:r>
          </w:p>
        </w:tc>
      </w:tr>
      <w:tr w:rsidR="005C7F93" w:rsidTr="005C7F93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2504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1440kW/1800kVA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13</w:t>
            </w:r>
            <w:r>
              <w:rPr>
                <w:rFonts w:ascii="Arial" w:eastAsia="幼圆" w:hAnsi="Arial" w:cs="Arial"/>
              </w:rPr>
              <w:t>20</w:t>
            </w:r>
            <w:r w:rsidRPr="005C7F93">
              <w:rPr>
                <w:rFonts w:ascii="Arial" w:eastAsia="幼圆" w:hAnsi="Arial" w:cs="Arial"/>
              </w:rPr>
              <w:t>kW/16</w:t>
            </w:r>
            <w:r>
              <w:rPr>
                <w:rFonts w:ascii="Arial" w:eastAsia="幼圆" w:hAnsi="Arial" w:cs="Arial"/>
              </w:rPr>
              <w:t>5</w:t>
            </w:r>
            <w:r w:rsidRPr="005C7F93">
              <w:rPr>
                <w:rFonts w:ascii="Arial" w:eastAsia="幼圆" w:hAnsi="Arial" w:cs="Arial"/>
              </w:rPr>
              <w:t>0kVA</w:t>
            </w:r>
          </w:p>
        </w:tc>
      </w:tr>
      <w:tr w:rsidR="005C7F93" w:rsidTr="005C7F93">
        <w:trPr>
          <w:trHeight w:val="397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2598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1440kW/1800kVA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13</w:t>
            </w:r>
            <w:r>
              <w:rPr>
                <w:rFonts w:ascii="Arial" w:eastAsia="幼圆" w:hAnsi="Arial" w:cs="Arial"/>
              </w:rPr>
              <w:t>20</w:t>
            </w:r>
            <w:r w:rsidRPr="005C7F93">
              <w:rPr>
                <w:rFonts w:ascii="Arial" w:eastAsia="幼圆" w:hAnsi="Arial" w:cs="Arial"/>
              </w:rPr>
              <w:t>kW/16</w:t>
            </w:r>
            <w:r>
              <w:rPr>
                <w:rFonts w:ascii="Arial" w:eastAsia="幼圆" w:hAnsi="Arial" w:cs="Arial"/>
              </w:rPr>
              <w:t>5</w:t>
            </w:r>
            <w:r w:rsidRPr="005C7F93">
              <w:rPr>
                <w:rFonts w:ascii="Arial" w:eastAsia="幼圆" w:hAnsi="Arial" w:cs="Arial"/>
              </w:rPr>
              <w:t>0kVA</w:t>
            </w:r>
          </w:p>
        </w:tc>
      </w:tr>
      <w:tr w:rsidR="005C7F93" w:rsidTr="005C7F93">
        <w:trPr>
          <w:trHeight w:val="385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0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2735</w:t>
            </w:r>
          </w:p>
        </w:tc>
        <w:tc>
          <w:tcPr>
            <w:tcW w:w="21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1440kW/1800kVA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7F93" w:rsidRPr="005C7F93" w:rsidRDefault="005C7F93" w:rsidP="005C7F93">
            <w:pPr>
              <w:jc w:val="center"/>
              <w:rPr>
                <w:rFonts w:ascii="Arial" w:eastAsia="幼圆" w:hAnsi="Arial" w:cs="Arial"/>
              </w:rPr>
            </w:pPr>
            <w:r w:rsidRPr="005C7F93">
              <w:rPr>
                <w:rFonts w:ascii="Arial" w:eastAsia="幼圆" w:hAnsi="Arial" w:cs="Arial"/>
              </w:rPr>
              <w:t>13</w:t>
            </w:r>
            <w:r>
              <w:rPr>
                <w:rFonts w:ascii="Arial" w:eastAsia="幼圆" w:hAnsi="Arial" w:cs="Arial"/>
              </w:rPr>
              <w:t>20</w:t>
            </w:r>
            <w:r w:rsidRPr="005C7F93">
              <w:rPr>
                <w:rFonts w:ascii="Arial" w:eastAsia="幼圆" w:hAnsi="Arial" w:cs="Arial"/>
              </w:rPr>
              <w:t>kW/16</w:t>
            </w:r>
            <w:r>
              <w:rPr>
                <w:rFonts w:ascii="Arial" w:eastAsia="幼圆" w:hAnsi="Arial" w:cs="Arial"/>
              </w:rPr>
              <w:t>5</w:t>
            </w:r>
            <w:r w:rsidRPr="005C7F93">
              <w:rPr>
                <w:rFonts w:ascii="Arial" w:eastAsia="幼圆" w:hAnsi="Arial" w:cs="Arial"/>
              </w:rPr>
              <w:t>0kVA</w:t>
            </w:r>
          </w:p>
        </w:tc>
      </w:tr>
    </w:tbl>
    <w:p w:rsidR="004E1AA5" w:rsidRDefault="004E1AA5">
      <w:pPr>
        <w:jc w:val="center"/>
        <w:rPr>
          <w:rFonts w:ascii="Arial" w:eastAsia="幼圆" w:hAnsi="Arial" w:cs="Arial"/>
        </w:rPr>
      </w:pPr>
    </w:p>
    <w:p w:rsidR="004E1AA5" w:rsidRDefault="002D1640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proofErr w:type="spellStart"/>
      <w:r>
        <w:rPr>
          <w:rFonts w:ascii="Arial" w:hAnsi="Arial" w:cs="Arial"/>
          <w:szCs w:val="21"/>
        </w:rPr>
        <w:t>eqv</w:t>
      </w:r>
      <w:proofErr w:type="spellEnd"/>
      <w:r>
        <w:rPr>
          <w:rFonts w:ascii="Arial" w:hAnsi="Arial" w:cs="Arial"/>
          <w:szCs w:val="21"/>
        </w:rPr>
        <w:t xml:space="preserve">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4E1AA5" w:rsidRDefault="002D1640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4E1AA5" w:rsidRDefault="004E1AA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4E1AA5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4E1AA5" w:rsidRDefault="004E1AA5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4E1AA5" w:rsidRDefault="002D1640">
      <w:pPr>
        <w:widowControl/>
        <w:jc w:val="left"/>
        <w:rPr>
          <w:rFonts w:ascii="Arial" w:eastAsia="方正黑体简体" w:hAnsi="Arial" w:cs="Arial"/>
          <w:szCs w:val="21"/>
        </w:rPr>
      </w:pP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provides a full line of brand new and </w:t>
      </w:r>
      <w:proofErr w:type="gramStart"/>
      <w:r>
        <w:rPr>
          <w:rFonts w:ascii="Arial" w:eastAsia="方正黑体简体" w:hAnsi="Arial" w:cs="Arial"/>
          <w:szCs w:val="21"/>
        </w:rPr>
        <w:t>high quality</w:t>
      </w:r>
      <w:proofErr w:type="gramEnd"/>
      <w:r>
        <w:rPr>
          <w:rFonts w:ascii="Arial" w:eastAsia="方正黑体简体" w:hAnsi="Arial" w:cs="Arial"/>
          <w:szCs w:val="21"/>
        </w:rPr>
        <w:t xml:space="preserve"> products. Each and every unit is strictly factory tested.</w:t>
      </w:r>
    </w:p>
    <w:p w:rsidR="004E1AA5" w:rsidRDefault="002D1640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4E1AA5" w:rsidRDefault="002D1640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 xml:space="preserve">Service and parts are available from </w:t>
      </w: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or distributors in your location.</w:t>
      </w:r>
    </w:p>
    <w:p w:rsidR="004E1AA5" w:rsidRDefault="002D1640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4E1AA5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Baudouin </w:t>
            </w:r>
            <w:r w:rsidR="00E146D3">
              <w:rPr>
                <w:rFonts w:ascii="Arial" w:hAnsi="Arial" w:cs="Arial"/>
                <w:color w:val="000000"/>
                <w:kern w:val="0"/>
                <w:szCs w:val="21"/>
              </w:rPr>
              <w:t>16M33G4D3</w:t>
            </w:r>
            <w:r w:rsidR="005C7F93"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High Pressure Common Rail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 cylinders in V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52.3 L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150×185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E146D3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80KW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ECU</w:t>
            </w:r>
          </w:p>
        </w:tc>
      </w:tr>
    </w:tbl>
    <w:p w:rsidR="004E1AA5" w:rsidRDefault="004E1AA5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4"/>
        <w:gridCol w:w="2714"/>
      </w:tblGrid>
      <w:tr w:rsidR="004E1AA5" w:rsidTr="00E146D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E1AA5" w:rsidRDefault="00E146D3">
            <w:pPr>
              <w:spacing w:line="312" w:lineRule="auto"/>
              <w:rPr>
                <w:rFonts w:ascii="Arial" w:hAnsi="Arial" w:cs="Arial"/>
              </w:rPr>
            </w:pPr>
            <w:r w:rsidRPr="00E146D3">
              <w:rPr>
                <w:rFonts w:ascii="Arial" w:hAnsi="Arial" w:cs="Arial"/>
                <w:color w:val="000000"/>
                <w:kern w:val="0"/>
                <w:szCs w:val="21"/>
              </w:rPr>
              <w:t>385.5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="002D1640">
              <w:rPr>
                <w:rFonts w:ascii="Arial" w:hAnsi="Arial" w:cs="Arial"/>
              </w:rPr>
              <w:t>m</w:t>
            </w:r>
            <w:r w:rsidR="002D1640">
              <w:rPr>
                <w:rFonts w:ascii="Arial" w:hAnsi="Arial" w:cs="Arial"/>
                <w:vertAlign w:val="superscript"/>
              </w:rPr>
              <w:t>3</w:t>
            </w:r>
            <w:r w:rsidR="002D1640">
              <w:rPr>
                <w:rFonts w:ascii="Arial" w:hAnsi="Arial" w:cs="Arial"/>
              </w:rPr>
              <w:t>/min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7.5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E1AA5" w:rsidTr="00E146D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E1AA5" w:rsidRDefault="005C7F93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6.2</w:t>
            </w:r>
            <w:r w:rsidR="002D1640">
              <w:rPr>
                <w:rFonts w:ascii="Arial" w:hAnsi="Arial" w:cs="Arial"/>
              </w:rPr>
              <w:t xml:space="preserve"> kPa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</w:t>
            </w:r>
            <w:r w:rsidR="00E146D3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E1AA5" w:rsidTr="00E146D3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2340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E1AA5" w:rsidTr="00E146D3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A053FB" w:rsidTr="00E146D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A053FB" w:rsidRDefault="00A053FB" w:rsidP="00A053F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bookmarkStart w:id="0" w:name="_GoBack" w:colFirst="1" w:colLast="2"/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A053FB" w:rsidRPr="00A053FB" w:rsidRDefault="00A053FB" w:rsidP="00A053F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A053FB">
              <w:rPr>
                <w:rFonts w:ascii="Arial" w:hAnsi="Arial" w:cs="Arial"/>
                <w:color w:val="000000"/>
                <w:kern w:val="0"/>
                <w:szCs w:val="21"/>
              </w:rPr>
              <w:t>200.4g/kWh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A053FB" w:rsidRPr="00A053FB" w:rsidRDefault="00A053FB" w:rsidP="00A053F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A053FB">
              <w:rPr>
                <w:rFonts w:ascii="Arial" w:hAnsi="Arial" w:cs="Arial"/>
                <w:color w:val="000000"/>
                <w:kern w:val="0"/>
                <w:szCs w:val="21"/>
              </w:rPr>
              <w:t>341L/h</w:t>
            </w:r>
          </w:p>
        </w:tc>
      </w:tr>
      <w:tr w:rsidR="00A053FB" w:rsidTr="00E146D3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A053FB" w:rsidRDefault="00A053FB" w:rsidP="00A053F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A053FB" w:rsidRPr="00A053FB" w:rsidRDefault="00A053FB" w:rsidP="00A053F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A053FB">
              <w:rPr>
                <w:rFonts w:ascii="Arial" w:hAnsi="Arial" w:cs="Arial"/>
                <w:color w:val="000000"/>
                <w:kern w:val="0"/>
                <w:szCs w:val="21"/>
              </w:rPr>
              <w:t>195.6g/kWh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:rsidR="00A053FB" w:rsidRPr="00A053FB" w:rsidRDefault="00A053FB" w:rsidP="00A053F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A053FB">
              <w:rPr>
                <w:rFonts w:ascii="Arial" w:hAnsi="Arial" w:cs="Arial"/>
                <w:color w:val="000000"/>
                <w:kern w:val="0"/>
                <w:szCs w:val="21"/>
              </w:rPr>
              <w:t>253L/h</w:t>
            </w:r>
          </w:p>
        </w:tc>
      </w:tr>
      <w:tr w:rsidR="00A053FB" w:rsidTr="00E146D3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A053FB" w:rsidRDefault="00A053FB" w:rsidP="00A053F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A053FB" w:rsidRPr="00A053FB" w:rsidRDefault="00A053FB" w:rsidP="00A053F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A053FB">
              <w:rPr>
                <w:rFonts w:ascii="Arial" w:hAnsi="Arial" w:cs="Arial"/>
                <w:color w:val="000000"/>
                <w:kern w:val="0"/>
                <w:szCs w:val="21"/>
              </w:rPr>
              <w:t>201g/kWh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A053FB" w:rsidRPr="00A053FB" w:rsidRDefault="00A053FB" w:rsidP="00A053FB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A053FB">
              <w:rPr>
                <w:rFonts w:ascii="Arial" w:hAnsi="Arial" w:cs="Arial"/>
                <w:color w:val="000000"/>
                <w:kern w:val="0"/>
                <w:szCs w:val="21"/>
              </w:rPr>
              <w:t>179L/h</w:t>
            </w:r>
          </w:p>
        </w:tc>
      </w:tr>
      <w:bookmarkEnd w:id="0"/>
    </w:tbl>
    <w:p w:rsidR="004E1AA5" w:rsidRDefault="004E1AA5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4E1AA5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175</w:t>
            </w:r>
            <w:r>
              <w:rPr>
                <w:rFonts w:ascii="Arial" w:hAnsi="Arial" w:cs="Arial"/>
              </w:rPr>
              <w:t>L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0.3 %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4E1AA5" w:rsidRDefault="002D1640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114-171L</w:t>
            </w:r>
          </w:p>
        </w:tc>
      </w:tr>
    </w:tbl>
    <w:p w:rsidR="004E1AA5" w:rsidRDefault="004E1AA5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4E1AA5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542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4E1AA5" w:rsidRDefault="004E1AA5"/>
    <w:p w:rsidR="004E1AA5" w:rsidRDefault="002D1640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4E1AA5" w:rsidTr="00734102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4E1AA5" w:rsidTr="00734102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4E1AA5" w:rsidRDefault="002D1640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4E1AA5" w:rsidTr="00734102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E1AA5" w:rsidRDefault="0083093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1650</w:t>
            </w:r>
            <w:r w:rsidR="002D1640">
              <w:rPr>
                <w:rFonts w:ascii="Arial" w:hAnsi="Arial" w:cs="Arial"/>
                <w:color w:val="000000"/>
                <w:szCs w:val="21"/>
              </w:rPr>
              <w:t>kVA</w:t>
            </w:r>
          </w:p>
        </w:tc>
      </w:tr>
      <w:tr w:rsidR="004E1AA5" w:rsidTr="00734102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</w:t>
            </w:r>
            <w:r w:rsidR="00830939">
              <w:rPr>
                <w:rFonts w:ascii="Arial" w:hAnsi="Arial" w:cs="Arial"/>
                <w:color w:val="000000"/>
                <w:szCs w:val="21"/>
              </w:rPr>
              <w:t>6.2</w:t>
            </w:r>
            <w:r>
              <w:rPr>
                <w:rFonts w:ascii="Arial" w:hAnsi="Arial" w:cs="Arial"/>
                <w:color w:val="000000"/>
                <w:szCs w:val="21"/>
              </w:rPr>
              <w:t>%</w:t>
            </w:r>
          </w:p>
        </w:tc>
      </w:tr>
    </w:tbl>
    <w:p w:rsidR="004E1AA5" w:rsidRDefault="004E1AA5">
      <w:pPr>
        <w:widowControl/>
        <w:jc w:val="left"/>
      </w:pPr>
    </w:p>
    <w:p w:rsidR="004E1AA5" w:rsidRDefault="002D1640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E1AA5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≤+20%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≤-15%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≤0.5%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≤+10%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≤-7%</w:t>
            </w:r>
          </w:p>
        </w:tc>
      </w:tr>
      <w:tr w:rsidR="004E1AA5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  <w:tr w:rsidR="004E1AA5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</w:tbl>
    <w:p w:rsidR="004E1AA5" w:rsidRDefault="004E1AA5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4E1AA5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E1AA5" w:rsidRDefault="002D1640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E1AA5" w:rsidRDefault="004E1AA5">
      <w:pPr>
        <w:widowControl/>
        <w:jc w:val="left"/>
      </w:pPr>
    </w:p>
    <w:p w:rsidR="004E1AA5" w:rsidRDefault="002D1640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4E1AA5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4E1AA5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E1AA5" w:rsidRDefault="004E1AA5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4E1AA5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E1AA5" w:rsidRDefault="002D1640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4E1AA5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E1AA5" w:rsidRDefault="002D1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4E1AA5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4E1AA5" w:rsidRDefault="004E1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5220×2200×2550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E1AA5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4E1AA5" w:rsidRDefault="004E1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E1AA5" w:rsidRDefault="002D1640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12</w:t>
            </w:r>
            <w:r w:rsidR="00E146D3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4E1AA5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4E1AA5" w:rsidRDefault="004E1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E1AA5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4E1AA5" w:rsidRDefault="004E1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4E1AA5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E1AA5" w:rsidRDefault="004E1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E1AA5" w:rsidRDefault="004E1AA5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4E1AA5" w:rsidRDefault="004E1AA5">
      <w:pPr>
        <w:widowControl/>
        <w:jc w:val="left"/>
      </w:pPr>
    </w:p>
    <w:p w:rsidR="004E1AA5" w:rsidRDefault="002D1640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4E1AA5" w:rsidRDefault="004E1AA5">
      <w:pPr>
        <w:widowControl/>
        <w:jc w:val="left"/>
        <w:rPr>
          <w:i/>
        </w:rPr>
      </w:pPr>
    </w:p>
    <w:p w:rsidR="004E1AA5" w:rsidRDefault="004E1AA5">
      <w:pPr>
        <w:widowControl/>
        <w:jc w:val="left"/>
        <w:rPr>
          <w:i/>
        </w:rPr>
      </w:pPr>
    </w:p>
    <w:p w:rsidR="004E1AA5" w:rsidRDefault="004E1AA5">
      <w:pPr>
        <w:widowControl/>
        <w:jc w:val="left"/>
        <w:rPr>
          <w:i/>
        </w:rPr>
      </w:pPr>
    </w:p>
    <w:p w:rsidR="004E1AA5" w:rsidRDefault="002D1640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4E1AA5" w:rsidRDefault="002D1640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4E1AA5" w:rsidRDefault="002D1640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4E1AA5" w:rsidRDefault="002D1640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4E1AA5">
      <w:headerReference w:type="default" r:id="rId10"/>
      <w:footerReference w:type="default" r:id="rId11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8AB" w:rsidRDefault="003618AB">
      <w:r>
        <w:separator/>
      </w:r>
    </w:p>
  </w:endnote>
  <w:endnote w:type="continuationSeparator" w:id="0">
    <w:p w:rsidR="003618AB" w:rsidRDefault="0036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AA5" w:rsidRDefault="002D1640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1AA5" w:rsidRDefault="004E1AA5">
    <w:pPr>
      <w:pStyle w:val="a5"/>
    </w:pPr>
  </w:p>
  <w:p w:rsidR="004E1AA5" w:rsidRDefault="004E1AA5">
    <w:pPr>
      <w:pStyle w:val="a5"/>
    </w:pPr>
  </w:p>
  <w:p w:rsidR="004E1AA5" w:rsidRDefault="002D1640">
    <w:pPr>
      <w:pStyle w:val="a5"/>
    </w:pPr>
    <w:r>
      <w:rPr>
        <w:rFonts w:hint="eastAsia"/>
      </w:rPr>
      <w:softHyphen/>
    </w:r>
  </w:p>
  <w:p w:rsidR="004E1AA5" w:rsidRDefault="002D1640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E1AA5" w:rsidRDefault="002D1640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4E1AA5" w:rsidRDefault="002D1640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E1AA5" w:rsidRDefault="002D1640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8AB" w:rsidRDefault="003618AB">
      <w:r>
        <w:separator/>
      </w:r>
    </w:p>
  </w:footnote>
  <w:footnote w:type="continuationSeparator" w:id="0">
    <w:p w:rsidR="003618AB" w:rsidRDefault="0036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AA5" w:rsidRDefault="002D1640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E1AA5" w:rsidRDefault="004E1AA5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20"/>
      <w:gridCol w:w="6246"/>
    </w:tblGrid>
    <w:tr w:rsidR="004E1AA5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4E1AA5" w:rsidRDefault="002D1640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BF-BD1</w:t>
          </w:r>
          <w:r w:rsidR="005C7F93"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8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00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4E1AA5" w:rsidRDefault="002D1640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4E1AA5" w:rsidRDefault="004E1A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F457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E416C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36DE7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1C64"/>
    <w:rsid w:val="00293BE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1640"/>
    <w:rsid w:val="002D3276"/>
    <w:rsid w:val="002D6C87"/>
    <w:rsid w:val="002D6EB8"/>
    <w:rsid w:val="002E0D5D"/>
    <w:rsid w:val="002E2EFE"/>
    <w:rsid w:val="002E3C74"/>
    <w:rsid w:val="002E675C"/>
    <w:rsid w:val="002E6864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518FA"/>
    <w:rsid w:val="00351E67"/>
    <w:rsid w:val="00357D3C"/>
    <w:rsid w:val="003612E9"/>
    <w:rsid w:val="003618AB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1AA5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3B1A"/>
    <w:rsid w:val="005749DD"/>
    <w:rsid w:val="00574D18"/>
    <w:rsid w:val="00577672"/>
    <w:rsid w:val="00577B11"/>
    <w:rsid w:val="005803A2"/>
    <w:rsid w:val="005816A3"/>
    <w:rsid w:val="00591536"/>
    <w:rsid w:val="005977BD"/>
    <w:rsid w:val="005A04C5"/>
    <w:rsid w:val="005A4EDD"/>
    <w:rsid w:val="005A52BD"/>
    <w:rsid w:val="005A7476"/>
    <w:rsid w:val="005A7B06"/>
    <w:rsid w:val="005A7F6D"/>
    <w:rsid w:val="005C3A56"/>
    <w:rsid w:val="005C7F93"/>
    <w:rsid w:val="005D26F9"/>
    <w:rsid w:val="005D3A27"/>
    <w:rsid w:val="005D546E"/>
    <w:rsid w:val="005D7A46"/>
    <w:rsid w:val="005E1314"/>
    <w:rsid w:val="005E1FA0"/>
    <w:rsid w:val="005E3667"/>
    <w:rsid w:val="005E640C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34BA3"/>
    <w:rsid w:val="00642F72"/>
    <w:rsid w:val="006471BC"/>
    <w:rsid w:val="00651865"/>
    <w:rsid w:val="00655F4F"/>
    <w:rsid w:val="00656CBC"/>
    <w:rsid w:val="00656F12"/>
    <w:rsid w:val="006574F0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34102"/>
    <w:rsid w:val="00740CEB"/>
    <w:rsid w:val="00740F4E"/>
    <w:rsid w:val="0074217F"/>
    <w:rsid w:val="00746ABC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0939"/>
    <w:rsid w:val="00835638"/>
    <w:rsid w:val="008357C0"/>
    <w:rsid w:val="0084035F"/>
    <w:rsid w:val="00840B36"/>
    <w:rsid w:val="00841726"/>
    <w:rsid w:val="008431D5"/>
    <w:rsid w:val="0084656E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7622A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3700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01A3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53FB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59B6"/>
    <w:rsid w:val="00B8789A"/>
    <w:rsid w:val="00B90DC6"/>
    <w:rsid w:val="00B962C2"/>
    <w:rsid w:val="00B96F58"/>
    <w:rsid w:val="00BA24C0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E6EAF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6D3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0E4D"/>
    <w:rsid w:val="00F63D03"/>
    <w:rsid w:val="00F72061"/>
    <w:rsid w:val="00F727A1"/>
    <w:rsid w:val="00F77002"/>
    <w:rsid w:val="00F773D1"/>
    <w:rsid w:val="00F83E12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65F3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742EC-A8B2-4AC5-BDBD-59EC72F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AEBC3-998A-454F-8B88-BD356C23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678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13</cp:revision>
  <cp:lastPrinted>2021-05-05T02:26:00Z</cp:lastPrinted>
  <dcterms:created xsi:type="dcterms:W3CDTF">2021-07-01T08:15:00Z</dcterms:created>
  <dcterms:modified xsi:type="dcterms:W3CDTF">2023-11-20T07:32:00Z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